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2263" w14:textId="77777777" w:rsidR="008D7907" w:rsidRDefault="008D7907" w:rsidP="008D7907">
      <w:pPr>
        <w:spacing w:after="0" w:line="240" w:lineRule="auto"/>
        <w:rPr>
          <w:rFonts w:ascii="Calibri" w:hAnsi="Calibri" w:cs="Calibri"/>
          <w:b/>
          <w:bCs/>
          <w:color w:val="77BC43"/>
          <w:sz w:val="36"/>
          <w:szCs w:val="36"/>
        </w:rPr>
      </w:pPr>
      <w:r w:rsidRPr="008D7907">
        <w:rPr>
          <w:rFonts w:ascii="Calibri" w:hAnsi="Calibri" w:cs="Calibri"/>
          <w:b/>
          <w:bCs/>
          <w:color w:val="77BC43"/>
          <w:sz w:val="36"/>
          <w:szCs w:val="36"/>
        </w:rPr>
        <w:t>Zamil Industrial Investment Company</w:t>
      </w:r>
    </w:p>
    <w:p w14:paraId="26D3E729" w14:textId="5CB32145" w:rsidR="006E4407" w:rsidRPr="00CF7B20" w:rsidRDefault="008D7907" w:rsidP="008D7907">
      <w:pPr>
        <w:spacing w:after="0" w:line="240" w:lineRule="auto"/>
        <w:rPr>
          <w:rFonts w:ascii="Calibri" w:hAnsi="Calibri" w:cs="Calibri"/>
          <w:b/>
          <w:bCs/>
          <w:color w:val="77BC43"/>
          <w:sz w:val="36"/>
          <w:szCs w:val="36"/>
        </w:rPr>
      </w:pPr>
      <w:r w:rsidRPr="008D7907">
        <w:rPr>
          <w:rFonts w:ascii="Calibri" w:hAnsi="Calibri" w:cs="Calibri"/>
          <w:b/>
          <w:bCs/>
          <w:color w:val="77BC43"/>
          <w:sz w:val="36"/>
          <w:szCs w:val="36"/>
        </w:rPr>
        <w:t xml:space="preserve">General </w:t>
      </w:r>
      <w:r>
        <w:rPr>
          <w:rFonts w:ascii="Calibri" w:hAnsi="Calibri" w:cs="Calibri"/>
          <w:b/>
          <w:bCs/>
          <w:color w:val="77BC43"/>
          <w:sz w:val="36"/>
          <w:szCs w:val="36"/>
        </w:rPr>
        <w:t xml:space="preserve">Assembly </w:t>
      </w:r>
      <w:r w:rsidRPr="008D7907">
        <w:rPr>
          <w:rFonts w:ascii="Calibri" w:hAnsi="Calibri" w:cs="Calibri"/>
          <w:b/>
          <w:bCs/>
          <w:color w:val="77BC43"/>
          <w:sz w:val="36"/>
          <w:szCs w:val="36"/>
        </w:rPr>
        <w:t>Meeting Result</w:t>
      </w:r>
      <w:r>
        <w:rPr>
          <w:rFonts w:ascii="Calibri" w:hAnsi="Calibri" w:cs="Calibri"/>
          <w:b/>
          <w:bCs/>
          <w:color w:val="77BC43"/>
          <w:sz w:val="36"/>
          <w:szCs w:val="36"/>
        </w:rPr>
        <w:t>s</w:t>
      </w:r>
    </w:p>
    <w:p w14:paraId="0F70F520" w14:textId="326287EA" w:rsidR="006E4407" w:rsidRPr="00EE1796" w:rsidRDefault="006E4407" w:rsidP="00673176">
      <w:pPr>
        <w:spacing w:after="0" w:line="240" w:lineRule="auto"/>
        <w:rPr>
          <w:rFonts w:ascii="Calibri" w:hAnsi="Calibri" w:cs="Calibri"/>
          <w:b/>
          <w:bCs/>
          <w:sz w:val="22"/>
          <w:szCs w:val="22"/>
        </w:rPr>
      </w:pPr>
      <w:r w:rsidRPr="00EE1796">
        <w:rPr>
          <w:rFonts w:ascii="Calibri" w:hAnsi="Calibri" w:cs="Calibri"/>
          <w:b/>
          <w:bCs/>
          <w:sz w:val="22"/>
          <w:szCs w:val="22"/>
        </w:rPr>
        <w:t xml:space="preserve">Date: </w:t>
      </w:r>
      <w:r w:rsidR="008D7907" w:rsidRPr="00EE1796">
        <w:rPr>
          <w:rFonts w:ascii="Calibri" w:hAnsi="Calibri" w:cs="Calibri"/>
          <w:b/>
          <w:bCs/>
          <w:sz w:val="22"/>
          <w:szCs w:val="22"/>
        </w:rPr>
        <w:t>Thursday</w:t>
      </w:r>
      <w:r w:rsidR="00DE1B9A" w:rsidRPr="00EE1796">
        <w:rPr>
          <w:rFonts w:ascii="Calibri" w:hAnsi="Calibri" w:cs="Calibri"/>
          <w:b/>
          <w:bCs/>
          <w:sz w:val="22"/>
          <w:szCs w:val="22"/>
        </w:rPr>
        <w:t xml:space="preserve">, </w:t>
      </w:r>
      <w:r w:rsidR="008D7907" w:rsidRPr="00EE1796">
        <w:rPr>
          <w:rFonts w:ascii="Calibri" w:hAnsi="Calibri" w:cs="Calibri"/>
          <w:b/>
          <w:bCs/>
          <w:sz w:val="22"/>
          <w:szCs w:val="22"/>
        </w:rPr>
        <w:t>29 May</w:t>
      </w:r>
      <w:r w:rsidRPr="00EE1796">
        <w:rPr>
          <w:rFonts w:ascii="Calibri" w:hAnsi="Calibri" w:cs="Calibri"/>
          <w:b/>
          <w:bCs/>
          <w:sz w:val="22"/>
          <w:szCs w:val="22"/>
        </w:rPr>
        <w:t xml:space="preserve"> 202</w:t>
      </w:r>
      <w:r w:rsidR="00F23352" w:rsidRPr="00EE1796">
        <w:rPr>
          <w:rFonts w:ascii="Calibri" w:hAnsi="Calibri" w:cs="Calibri"/>
          <w:b/>
          <w:bCs/>
          <w:sz w:val="22"/>
          <w:szCs w:val="22"/>
        </w:rPr>
        <w:t>5</w:t>
      </w:r>
    </w:p>
    <w:p w14:paraId="2BE6075A" w14:textId="77777777" w:rsidR="005542B8" w:rsidRPr="008D7907" w:rsidRDefault="005542B8" w:rsidP="00673176">
      <w:pPr>
        <w:spacing w:after="0" w:line="240" w:lineRule="auto"/>
        <w:rPr>
          <w:rFonts w:ascii="Calibri" w:hAnsi="Calibri" w:cs="Calibri"/>
          <w:b/>
          <w:bCs/>
        </w:rPr>
      </w:pPr>
    </w:p>
    <w:p w14:paraId="4F75DEDA" w14:textId="1969D124" w:rsidR="0045283E" w:rsidRPr="008D7907" w:rsidRDefault="0045283E" w:rsidP="00673176">
      <w:pPr>
        <w:spacing w:after="0" w:line="240" w:lineRule="auto"/>
        <w:rPr>
          <w:rFonts w:ascii="Calibri" w:hAnsi="Calibri" w:cs="Calibri"/>
          <w:b/>
          <w:bCs/>
        </w:rPr>
      </w:pPr>
    </w:p>
    <w:p w14:paraId="7ECDC119" w14:textId="1E88D250" w:rsidR="00091DA1" w:rsidRPr="008D7907" w:rsidRDefault="00091DA1" w:rsidP="00673176">
      <w:pPr>
        <w:spacing w:after="0" w:line="240" w:lineRule="auto"/>
        <w:rPr>
          <w:rFonts w:ascii="Calibri" w:hAnsi="Calibri" w:cs="Calibri"/>
        </w:rPr>
      </w:pPr>
    </w:p>
    <w:p w14:paraId="01F91CB6" w14:textId="77777777" w:rsidR="008D7907" w:rsidRPr="008D7907" w:rsidRDefault="008D7907" w:rsidP="00673176">
      <w:pPr>
        <w:spacing w:after="0" w:line="240" w:lineRule="auto"/>
        <w:rPr>
          <w:rFonts w:ascii="Calibri" w:hAnsi="Calibri" w:cs="Calibri"/>
          <w:rtl/>
        </w:rPr>
      </w:pPr>
    </w:p>
    <w:tbl>
      <w:tblPr>
        <w:tblpPr w:leftFromText="180" w:rightFromText="180" w:vertAnchor="text" w:tblpXSpec="center" w:tblpY="1"/>
        <w:tblOverlap w:val="never"/>
        <w:tblW w:w="102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440"/>
        <w:gridCol w:w="8784"/>
      </w:tblGrid>
      <w:tr w:rsidR="008D7907" w:rsidRPr="008D7907" w14:paraId="09F3E213" w14:textId="77777777" w:rsidTr="008D7907">
        <w:trPr>
          <w:trHeight w:val="432"/>
        </w:trPr>
        <w:tc>
          <w:tcPr>
            <w:tcW w:w="1440" w:type="dxa"/>
            <w:shd w:val="clear" w:color="auto" w:fill="77BC43"/>
            <w:vAlign w:val="center"/>
            <w:hideMark/>
          </w:tcPr>
          <w:p w14:paraId="62B35EFB" w14:textId="3DD4EB0E" w:rsidR="008D7907" w:rsidRPr="008D7907" w:rsidRDefault="008D7907" w:rsidP="008D7907">
            <w:pPr>
              <w:spacing w:after="0" w:line="240" w:lineRule="auto"/>
              <w:rPr>
                <w:rFonts w:ascii="Calibri" w:hAnsi="Calibri" w:cs="Calibri"/>
                <w:b/>
                <w:bCs/>
              </w:rPr>
            </w:pPr>
            <w:r w:rsidRPr="008D7907">
              <w:rPr>
                <w:rFonts w:ascii="Calibri" w:hAnsi="Calibri" w:cs="Calibri"/>
                <w:b/>
                <w:bCs/>
              </w:rPr>
              <w:t>First</w:t>
            </w:r>
          </w:p>
        </w:tc>
        <w:tc>
          <w:tcPr>
            <w:tcW w:w="8784" w:type="dxa"/>
            <w:shd w:val="clear" w:color="auto" w:fill="F2F2F2" w:themeFill="background1" w:themeFillShade="F2"/>
            <w:vAlign w:val="center"/>
            <w:hideMark/>
          </w:tcPr>
          <w:p w14:paraId="164FAEDC" w14:textId="0EEAFCD8" w:rsidR="008D7907" w:rsidRPr="008D7907" w:rsidRDefault="008D7907" w:rsidP="008D7907">
            <w:pPr>
              <w:spacing w:after="0" w:line="240" w:lineRule="auto"/>
              <w:rPr>
                <w:rFonts w:ascii="Calibri" w:hAnsi="Calibri" w:cs="Calibri"/>
                <w:b/>
                <w:bCs/>
                <w:rtl/>
              </w:rPr>
            </w:pPr>
            <w:r w:rsidRPr="008D7907">
              <w:rPr>
                <w:rFonts w:ascii="Calibri" w:hAnsi="Calibri" w:cs="Calibri"/>
                <w:b/>
                <w:bCs/>
              </w:rPr>
              <w:t xml:space="preserve">Reviewed the Board of Directors’ report for the fiscal year ending on 31/12/2024 and </w:t>
            </w:r>
            <w:r w:rsidR="00465698" w:rsidRPr="008D7907">
              <w:rPr>
                <w:rFonts w:ascii="Calibri" w:hAnsi="Calibri" w:cs="Calibri"/>
                <w:b/>
                <w:bCs/>
              </w:rPr>
              <w:t>discuss</w:t>
            </w:r>
            <w:r w:rsidR="00465698">
              <w:rPr>
                <w:rFonts w:ascii="Calibri" w:hAnsi="Calibri" w:cs="Calibri"/>
                <w:b/>
                <w:bCs/>
              </w:rPr>
              <w:t>ed</w:t>
            </w:r>
            <w:r w:rsidRPr="008D7907">
              <w:rPr>
                <w:rFonts w:ascii="Calibri" w:hAnsi="Calibri" w:cs="Calibri"/>
                <w:b/>
                <w:bCs/>
              </w:rPr>
              <w:t xml:space="preserve"> it.</w:t>
            </w:r>
          </w:p>
        </w:tc>
      </w:tr>
      <w:tr w:rsidR="008D7907" w:rsidRPr="008D7907" w14:paraId="3CC92491" w14:textId="77777777" w:rsidTr="008D7907">
        <w:trPr>
          <w:trHeight w:val="432"/>
        </w:trPr>
        <w:tc>
          <w:tcPr>
            <w:tcW w:w="1440" w:type="dxa"/>
            <w:shd w:val="clear" w:color="auto" w:fill="77BC43"/>
            <w:vAlign w:val="center"/>
            <w:hideMark/>
          </w:tcPr>
          <w:p w14:paraId="6C34B68F" w14:textId="1818EA28" w:rsidR="008D7907" w:rsidRPr="008D7907" w:rsidRDefault="008D7907" w:rsidP="008D7907">
            <w:pPr>
              <w:spacing w:after="0" w:line="240" w:lineRule="auto"/>
              <w:rPr>
                <w:rFonts w:ascii="Calibri" w:hAnsi="Calibri" w:cs="Calibri"/>
                <w:b/>
                <w:bCs/>
                <w:rtl/>
              </w:rPr>
            </w:pPr>
            <w:r w:rsidRPr="008D7907">
              <w:rPr>
                <w:rFonts w:ascii="Calibri" w:hAnsi="Calibri" w:cs="Calibri"/>
                <w:b/>
                <w:bCs/>
              </w:rPr>
              <w:t>Second</w:t>
            </w:r>
          </w:p>
        </w:tc>
        <w:tc>
          <w:tcPr>
            <w:tcW w:w="8784" w:type="dxa"/>
            <w:vAlign w:val="center"/>
            <w:hideMark/>
          </w:tcPr>
          <w:p w14:paraId="3D4C8CFA" w14:textId="063B0BF8" w:rsidR="008D7907" w:rsidRPr="008D7907" w:rsidRDefault="008D7907" w:rsidP="008D7907">
            <w:pPr>
              <w:spacing w:after="0" w:line="240" w:lineRule="auto"/>
              <w:rPr>
                <w:rFonts w:ascii="Calibri" w:hAnsi="Calibri" w:cs="Calibri"/>
                <w:b/>
                <w:bCs/>
                <w:rtl/>
              </w:rPr>
            </w:pPr>
            <w:r w:rsidRPr="008D7907">
              <w:rPr>
                <w:rFonts w:ascii="Calibri" w:hAnsi="Calibri" w:cs="Calibri"/>
                <w:b/>
                <w:bCs/>
              </w:rPr>
              <w:t xml:space="preserve">Approved the External Auditor’s report for the fiscal year ending 31/12/2024 after discussion. </w:t>
            </w:r>
          </w:p>
        </w:tc>
      </w:tr>
      <w:tr w:rsidR="008D7907" w:rsidRPr="008D7907" w14:paraId="08184D02" w14:textId="77777777" w:rsidTr="008D7907">
        <w:trPr>
          <w:trHeight w:val="432"/>
        </w:trPr>
        <w:tc>
          <w:tcPr>
            <w:tcW w:w="1440" w:type="dxa"/>
            <w:shd w:val="clear" w:color="auto" w:fill="77BC43"/>
            <w:vAlign w:val="center"/>
            <w:hideMark/>
          </w:tcPr>
          <w:p w14:paraId="0B8CAF09" w14:textId="2249871E" w:rsidR="008D7907" w:rsidRPr="008D7907" w:rsidRDefault="008D7907" w:rsidP="008D7907">
            <w:pPr>
              <w:spacing w:after="0" w:line="240" w:lineRule="auto"/>
              <w:rPr>
                <w:rFonts w:ascii="Calibri" w:hAnsi="Calibri" w:cs="Calibri"/>
                <w:b/>
                <w:bCs/>
                <w:rtl/>
              </w:rPr>
            </w:pPr>
            <w:r w:rsidRPr="008D7907">
              <w:rPr>
                <w:rFonts w:ascii="Calibri" w:hAnsi="Calibri" w:cs="Calibri"/>
                <w:b/>
                <w:bCs/>
              </w:rPr>
              <w:t>Third</w:t>
            </w:r>
          </w:p>
        </w:tc>
        <w:tc>
          <w:tcPr>
            <w:tcW w:w="8784" w:type="dxa"/>
            <w:shd w:val="clear" w:color="auto" w:fill="F2F2F2" w:themeFill="background1" w:themeFillShade="F2"/>
            <w:vAlign w:val="center"/>
            <w:hideMark/>
          </w:tcPr>
          <w:p w14:paraId="2F23B660" w14:textId="1FCD8EDD" w:rsidR="008D7907" w:rsidRPr="008D7907" w:rsidRDefault="008D7907" w:rsidP="008D7907">
            <w:pPr>
              <w:spacing w:after="0" w:line="240" w:lineRule="auto"/>
              <w:rPr>
                <w:rFonts w:ascii="Calibri" w:hAnsi="Calibri" w:cs="Calibri"/>
                <w:b/>
                <w:bCs/>
                <w:rtl/>
              </w:rPr>
            </w:pPr>
            <w:r w:rsidRPr="008D7907">
              <w:rPr>
                <w:rFonts w:ascii="Calibri" w:hAnsi="Calibri" w:cs="Calibri"/>
                <w:b/>
                <w:bCs/>
              </w:rPr>
              <w:t>Reviewed the Consolidated Financial Statements for the fiscal year ending 31/12/2024 and discuss</w:t>
            </w:r>
            <w:r w:rsidR="00465698">
              <w:rPr>
                <w:rFonts w:ascii="Calibri" w:hAnsi="Calibri" w:cs="Calibri"/>
                <w:b/>
                <w:bCs/>
              </w:rPr>
              <w:t>ed</w:t>
            </w:r>
            <w:r w:rsidRPr="008D7907">
              <w:rPr>
                <w:rFonts w:ascii="Calibri" w:hAnsi="Calibri" w:cs="Calibri"/>
                <w:b/>
                <w:bCs/>
              </w:rPr>
              <w:t xml:space="preserve"> it.</w:t>
            </w:r>
          </w:p>
        </w:tc>
      </w:tr>
      <w:tr w:rsidR="00EE1796" w:rsidRPr="008D7907" w14:paraId="02CDA412" w14:textId="77777777" w:rsidTr="008D7907">
        <w:trPr>
          <w:trHeight w:val="432"/>
        </w:trPr>
        <w:tc>
          <w:tcPr>
            <w:tcW w:w="1440" w:type="dxa"/>
            <w:shd w:val="clear" w:color="auto" w:fill="77BC43"/>
            <w:vAlign w:val="center"/>
            <w:hideMark/>
          </w:tcPr>
          <w:p w14:paraId="274EE7D2" w14:textId="20F8E1B6" w:rsidR="00EE1796" w:rsidRPr="008D7907" w:rsidRDefault="00EE1796" w:rsidP="00EE1796">
            <w:pPr>
              <w:spacing w:after="0" w:line="240" w:lineRule="auto"/>
              <w:rPr>
                <w:rFonts w:ascii="Calibri" w:hAnsi="Calibri" w:cs="Calibri"/>
                <w:b/>
                <w:bCs/>
                <w:rtl/>
              </w:rPr>
            </w:pPr>
            <w:r w:rsidRPr="008D7907">
              <w:rPr>
                <w:rFonts w:ascii="Calibri" w:hAnsi="Calibri" w:cs="Calibri"/>
                <w:b/>
                <w:bCs/>
              </w:rPr>
              <w:t>Fourth</w:t>
            </w:r>
          </w:p>
        </w:tc>
        <w:tc>
          <w:tcPr>
            <w:tcW w:w="8784" w:type="dxa"/>
            <w:vAlign w:val="center"/>
            <w:hideMark/>
          </w:tcPr>
          <w:p w14:paraId="19202F92" w14:textId="76205DB6" w:rsidR="00EE1796" w:rsidRPr="008D7907" w:rsidRDefault="00EE1796" w:rsidP="00EE1796">
            <w:pPr>
              <w:spacing w:after="0" w:line="240" w:lineRule="auto"/>
              <w:rPr>
                <w:rFonts w:ascii="Calibri" w:hAnsi="Calibri" w:cs="Calibri"/>
                <w:b/>
                <w:bCs/>
                <w:rtl/>
              </w:rPr>
            </w:pPr>
            <w:r w:rsidRPr="008D7907">
              <w:rPr>
                <w:rFonts w:ascii="Calibri" w:hAnsi="Calibri" w:cs="Calibri"/>
                <w:b/>
                <w:bCs/>
              </w:rPr>
              <w:t xml:space="preserve">Approved the related party transaction between the Company and Zamil Group Holding Company, in which Mr. Sattam A. Al-Zamil, a member of the Board of Directors, has an indirect interest. Total </w:t>
            </w:r>
            <w:r w:rsidR="00465698">
              <w:rPr>
                <w:rFonts w:ascii="Calibri" w:hAnsi="Calibri" w:cs="Calibri"/>
                <w:b/>
                <w:bCs/>
              </w:rPr>
              <w:t>P</w:t>
            </w:r>
            <w:r w:rsidRPr="008D7907">
              <w:rPr>
                <w:rFonts w:ascii="Calibri" w:hAnsi="Calibri" w:cs="Calibri"/>
                <w:b/>
                <w:bCs/>
              </w:rPr>
              <w:t>urchase value in 2024 was SAR 31,748,757 and was agreed upon with the prevailing commercial terms.</w:t>
            </w:r>
          </w:p>
        </w:tc>
      </w:tr>
      <w:tr w:rsidR="00EE1796" w:rsidRPr="008D7907" w14:paraId="39264EDB" w14:textId="77777777" w:rsidTr="00EE1796">
        <w:trPr>
          <w:trHeight w:val="432"/>
        </w:trPr>
        <w:tc>
          <w:tcPr>
            <w:tcW w:w="1440" w:type="dxa"/>
            <w:shd w:val="clear" w:color="auto" w:fill="77BC43"/>
            <w:vAlign w:val="center"/>
            <w:hideMark/>
          </w:tcPr>
          <w:p w14:paraId="261C0A93" w14:textId="5AD07B1D" w:rsidR="00EE1796" w:rsidRPr="008D7907" w:rsidRDefault="00EE1796" w:rsidP="00EE1796">
            <w:pPr>
              <w:spacing w:after="0" w:line="240" w:lineRule="auto"/>
              <w:rPr>
                <w:rFonts w:ascii="Calibri" w:hAnsi="Calibri" w:cs="Calibri"/>
                <w:b/>
                <w:bCs/>
                <w:rtl/>
              </w:rPr>
            </w:pPr>
            <w:r w:rsidRPr="008D7907">
              <w:rPr>
                <w:rFonts w:ascii="Calibri" w:hAnsi="Calibri" w:cs="Calibri"/>
                <w:b/>
                <w:bCs/>
              </w:rPr>
              <w:t>Fifth</w:t>
            </w:r>
          </w:p>
        </w:tc>
        <w:tc>
          <w:tcPr>
            <w:tcW w:w="8784" w:type="dxa"/>
            <w:shd w:val="clear" w:color="auto" w:fill="F2F2F2" w:themeFill="background1" w:themeFillShade="F2"/>
            <w:vAlign w:val="center"/>
          </w:tcPr>
          <w:p w14:paraId="1CCE808C" w14:textId="7AE9B99E" w:rsidR="00EE1796" w:rsidRPr="008D7907" w:rsidRDefault="00EE1796" w:rsidP="00EE1796">
            <w:pPr>
              <w:spacing w:after="0" w:line="240" w:lineRule="auto"/>
              <w:rPr>
                <w:rFonts w:ascii="Calibri" w:hAnsi="Calibri" w:cs="Calibri"/>
                <w:b/>
                <w:bCs/>
              </w:rPr>
            </w:pPr>
            <w:r w:rsidRPr="008D7907">
              <w:rPr>
                <w:rFonts w:ascii="Calibri" w:hAnsi="Calibri" w:cs="Calibri"/>
                <w:b/>
                <w:bCs/>
              </w:rPr>
              <w:t>Approved the related party transaction between the Company and Arabian Gulf Construction Company, in which Mr. Sattam A. Al-Zamil, a member of the Board of Directors, has an indirect interest. Total Sales value in 2024 was SAR 253,192 and was agreed upon with the prevailing commercial terms.</w:t>
            </w:r>
          </w:p>
        </w:tc>
      </w:tr>
      <w:tr w:rsidR="00EE1796" w:rsidRPr="008D7907" w14:paraId="18614B48" w14:textId="77777777" w:rsidTr="00EE1796">
        <w:trPr>
          <w:trHeight w:val="432"/>
        </w:trPr>
        <w:tc>
          <w:tcPr>
            <w:tcW w:w="1440" w:type="dxa"/>
            <w:shd w:val="clear" w:color="auto" w:fill="77BC43"/>
            <w:vAlign w:val="center"/>
            <w:hideMark/>
          </w:tcPr>
          <w:p w14:paraId="0DABF2CA" w14:textId="33C29944" w:rsidR="00EE1796" w:rsidRPr="008D7907" w:rsidRDefault="00EE1796" w:rsidP="00EE1796">
            <w:pPr>
              <w:spacing w:after="0" w:line="240" w:lineRule="auto"/>
              <w:rPr>
                <w:rFonts w:ascii="Calibri" w:hAnsi="Calibri" w:cs="Calibri"/>
                <w:b/>
                <w:bCs/>
                <w:rtl/>
              </w:rPr>
            </w:pPr>
            <w:r w:rsidRPr="008D7907">
              <w:rPr>
                <w:rFonts w:ascii="Calibri" w:hAnsi="Calibri" w:cs="Calibri"/>
                <w:b/>
                <w:bCs/>
              </w:rPr>
              <w:t>Sixth</w:t>
            </w:r>
          </w:p>
        </w:tc>
        <w:tc>
          <w:tcPr>
            <w:tcW w:w="8784" w:type="dxa"/>
            <w:vAlign w:val="center"/>
          </w:tcPr>
          <w:p w14:paraId="188DF0F3" w14:textId="7382D7CF" w:rsidR="00EE1796" w:rsidRPr="008D7907" w:rsidRDefault="00EE1796" w:rsidP="00EE1796">
            <w:pPr>
              <w:spacing w:after="0" w:line="240" w:lineRule="auto"/>
              <w:rPr>
                <w:rFonts w:ascii="Calibri" w:hAnsi="Calibri" w:cs="Calibri"/>
                <w:b/>
                <w:bCs/>
              </w:rPr>
            </w:pPr>
            <w:r w:rsidRPr="008D7907">
              <w:rPr>
                <w:rFonts w:ascii="Calibri" w:hAnsi="Calibri" w:cs="Calibri"/>
                <w:b/>
                <w:bCs/>
              </w:rPr>
              <w:t xml:space="preserve">Approved the related party transaction between the Company and Zamil Group Holding Company, in which Mr. Sattam A. Al-Zamil, a member of the Board of Directors, has an indirect interest. Total Sales value in 2024 was SAR 8,280,426 and was agreed upon with the prevailing commercial terms. </w:t>
            </w:r>
          </w:p>
        </w:tc>
      </w:tr>
      <w:tr w:rsidR="00EE1796" w:rsidRPr="008D7907" w14:paraId="0A0F31AF" w14:textId="77777777" w:rsidTr="00EE1796">
        <w:trPr>
          <w:trHeight w:val="432"/>
        </w:trPr>
        <w:tc>
          <w:tcPr>
            <w:tcW w:w="1440" w:type="dxa"/>
            <w:shd w:val="clear" w:color="auto" w:fill="77BC43"/>
            <w:vAlign w:val="center"/>
            <w:hideMark/>
          </w:tcPr>
          <w:p w14:paraId="6791DB0D" w14:textId="0F4E0EF8" w:rsidR="00EE1796" w:rsidRPr="008D7907" w:rsidRDefault="00EE1796" w:rsidP="00EE1796">
            <w:pPr>
              <w:spacing w:after="0" w:line="240" w:lineRule="auto"/>
              <w:rPr>
                <w:rFonts w:ascii="Calibri" w:hAnsi="Calibri" w:cs="Calibri"/>
                <w:b/>
                <w:bCs/>
              </w:rPr>
            </w:pPr>
            <w:r w:rsidRPr="008D7907">
              <w:rPr>
                <w:rFonts w:ascii="Calibri" w:hAnsi="Calibri" w:cs="Calibri"/>
                <w:b/>
                <w:bCs/>
              </w:rPr>
              <w:t>Seventh</w:t>
            </w:r>
          </w:p>
        </w:tc>
        <w:tc>
          <w:tcPr>
            <w:tcW w:w="8784" w:type="dxa"/>
            <w:shd w:val="clear" w:color="auto" w:fill="F2F2F2" w:themeFill="background1" w:themeFillShade="F2"/>
            <w:vAlign w:val="center"/>
          </w:tcPr>
          <w:p w14:paraId="618D7004" w14:textId="797F7C0D" w:rsidR="00EE1796" w:rsidRPr="008D7907" w:rsidRDefault="00EE1796" w:rsidP="00EE1796">
            <w:pPr>
              <w:spacing w:after="0" w:line="240" w:lineRule="auto"/>
              <w:rPr>
                <w:rFonts w:ascii="Calibri" w:hAnsi="Calibri" w:cs="Calibri"/>
                <w:b/>
                <w:bCs/>
                <w:rtl/>
              </w:rPr>
            </w:pPr>
            <w:r>
              <w:rPr>
                <w:rFonts w:ascii="Calibri" w:hAnsi="Calibri" w:cs="Calibri"/>
                <w:b/>
                <w:bCs/>
                <w:kern w:val="0"/>
                <w14:ligatures w14:val="none"/>
              </w:rPr>
              <w:t>Approved delegating the Board of Directors with the General Assembly authority to issue the permit mentioned in Paragraph (1) of Article (27) of the Companies Law, for a period of one year from the General Assembly approval date or until the end of the Board term, whichever is earlier, in accordance with the Implementing Regulation of the Companies Law for Listed Joint Stock Companies.</w:t>
            </w:r>
          </w:p>
        </w:tc>
      </w:tr>
    </w:tbl>
    <w:p w14:paraId="0826CADE" w14:textId="77777777" w:rsidR="00673176" w:rsidRPr="008D7907" w:rsidRDefault="00673176" w:rsidP="00673176">
      <w:pPr>
        <w:spacing w:after="0" w:line="240" w:lineRule="auto"/>
        <w:rPr>
          <w:rFonts w:ascii="Calibri" w:hAnsi="Calibri" w:cs="Calibri"/>
        </w:rPr>
      </w:pPr>
    </w:p>
    <w:sectPr w:rsidR="00673176" w:rsidRPr="008D7907" w:rsidSect="000D4700">
      <w:headerReference w:type="default" r:id="rId7"/>
      <w:footerReference w:type="default" r:id="rId8"/>
      <w:pgSz w:w="11906" w:h="16838" w:code="9"/>
      <w:pgMar w:top="1440" w:right="864" w:bottom="1440" w:left="86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F987" w14:textId="77777777" w:rsidR="006D0825" w:rsidRDefault="006D0825" w:rsidP="006E4407">
      <w:pPr>
        <w:spacing w:after="0" w:line="240" w:lineRule="auto"/>
      </w:pPr>
      <w:r>
        <w:separator/>
      </w:r>
    </w:p>
  </w:endnote>
  <w:endnote w:type="continuationSeparator" w:id="0">
    <w:p w14:paraId="3F25CCF1" w14:textId="77777777" w:rsidR="006D0825" w:rsidRDefault="006D0825" w:rsidP="006E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5DBC" w14:textId="328BF0EC" w:rsidR="006E4407" w:rsidRDefault="006E4407">
    <w:pPr>
      <w:pStyle w:val="Footer"/>
    </w:pPr>
    <w:r>
      <w:rPr>
        <w:noProof/>
      </w:rPr>
      <w:drawing>
        <wp:anchor distT="0" distB="0" distL="114300" distR="114300" simplePos="0" relativeHeight="251665408" behindDoc="1" locked="0" layoutInCell="1" allowOverlap="1" wp14:anchorId="3DA64961" wp14:editId="77882EC7">
          <wp:simplePos x="0" y="0"/>
          <wp:positionH relativeFrom="column">
            <wp:posOffset>-637540</wp:posOffset>
          </wp:positionH>
          <wp:positionV relativeFrom="page">
            <wp:posOffset>9024620</wp:posOffset>
          </wp:positionV>
          <wp:extent cx="7741456" cy="1669726"/>
          <wp:effectExtent l="0" t="0" r="0" b="6985"/>
          <wp:wrapNone/>
          <wp:docPr id="568016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1668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41456" cy="16697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EACC" w14:textId="77777777" w:rsidR="006D0825" w:rsidRDefault="006D0825" w:rsidP="006E4407">
      <w:pPr>
        <w:spacing w:after="0" w:line="240" w:lineRule="auto"/>
      </w:pPr>
      <w:r>
        <w:separator/>
      </w:r>
    </w:p>
  </w:footnote>
  <w:footnote w:type="continuationSeparator" w:id="0">
    <w:p w14:paraId="1F8927C7" w14:textId="77777777" w:rsidR="006D0825" w:rsidRDefault="006D0825" w:rsidP="006E4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42A4" w14:textId="3DECE2DD" w:rsidR="006E4407" w:rsidRDefault="006E4407" w:rsidP="00165ACD">
    <w:pPr>
      <w:pStyle w:val="Header"/>
    </w:pPr>
    <w:r>
      <w:rPr>
        <w:noProof/>
      </w:rPr>
      <w:drawing>
        <wp:anchor distT="0" distB="0" distL="114300" distR="114300" simplePos="0" relativeHeight="251657216" behindDoc="0" locked="0" layoutInCell="1" allowOverlap="1" wp14:anchorId="43C800AA" wp14:editId="530E1BD7">
          <wp:simplePos x="0" y="0"/>
          <wp:positionH relativeFrom="column">
            <wp:posOffset>-633730</wp:posOffset>
          </wp:positionH>
          <wp:positionV relativeFrom="page">
            <wp:posOffset>3175</wp:posOffset>
          </wp:positionV>
          <wp:extent cx="7736840" cy="1125220"/>
          <wp:effectExtent l="0" t="0" r="0" b="0"/>
          <wp:wrapSquare wrapText="bothSides"/>
          <wp:docPr id="104844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494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6840" cy="1125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0C2"/>
    <w:multiLevelType w:val="hybridMultilevel"/>
    <w:tmpl w:val="718EC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DAF5350"/>
    <w:multiLevelType w:val="hybridMultilevel"/>
    <w:tmpl w:val="C73CED90"/>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33573C50"/>
    <w:multiLevelType w:val="hybridMultilevel"/>
    <w:tmpl w:val="6DB66814"/>
    <w:lvl w:ilvl="0" w:tplc="5726E78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492156C"/>
    <w:multiLevelType w:val="hybridMultilevel"/>
    <w:tmpl w:val="F6D04996"/>
    <w:lvl w:ilvl="0" w:tplc="6846D1F0">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6E075D23"/>
    <w:multiLevelType w:val="hybridMultilevel"/>
    <w:tmpl w:val="4296E132"/>
    <w:lvl w:ilvl="0" w:tplc="0409000F">
      <w:start w:val="1"/>
      <w:numFmt w:val="decimal"/>
      <w:lvlText w:val="%1."/>
      <w:lvlJc w:val="left"/>
      <w:pPr>
        <w:ind w:left="360" w:hanging="360"/>
      </w:pPr>
      <w:rPr>
        <w:rFonts w:hint="default"/>
      </w:rPr>
    </w:lvl>
    <w:lvl w:ilvl="1" w:tplc="3A903A4C">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720979407">
    <w:abstractNumId w:val="0"/>
  </w:num>
  <w:num w:numId="2" w16cid:durableId="160596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683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351181">
    <w:abstractNumId w:val="4"/>
  </w:num>
  <w:num w:numId="5" w16cid:durableId="818691578">
    <w:abstractNumId w:val="2"/>
  </w:num>
  <w:num w:numId="6" w16cid:durableId="583731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07"/>
    <w:rsid w:val="00066F7C"/>
    <w:rsid w:val="00091DA1"/>
    <w:rsid w:val="00094F6C"/>
    <w:rsid w:val="000D4700"/>
    <w:rsid w:val="000E59DE"/>
    <w:rsid w:val="000F7B67"/>
    <w:rsid w:val="00112CD1"/>
    <w:rsid w:val="00165ACD"/>
    <w:rsid w:val="002922A6"/>
    <w:rsid w:val="002D251F"/>
    <w:rsid w:val="002E1B45"/>
    <w:rsid w:val="002F477D"/>
    <w:rsid w:val="003902C3"/>
    <w:rsid w:val="003F077C"/>
    <w:rsid w:val="0045283E"/>
    <w:rsid w:val="00454227"/>
    <w:rsid w:val="00465698"/>
    <w:rsid w:val="00483058"/>
    <w:rsid w:val="004D7853"/>
    <w:rsid w:val="004E051B"/>
    <w:rsid w:val="004F25AC"/>
    <w:rsid w:val="005542B8"/>
    <w:rsid w:val="005809DD"/>
    <w:rsid w:val="00586FE0"/>
    <w:rsid w:val="00600721"/>
    <w:rsid w:val="00601F2A"/>
    <w:rsid w:val="00673176"/>
    <w:rsid w:val="006D0825"/>
    <w:rsid w:val="006E4407"/>
    <w:rsid w:val="007C4AE2"/>
    <w:rsid w:val="007E224C"/>
    <w:rsid w:val="00823B1B"/>
    <w:rsid w:val="0082589A"/>
    <w:rsid w:val="00886236"/>
    <w:rsid w:val="008963D8"/>
    <w:rsid w:val="008B2914"/>
    <w:rsid w:val="008D7907"/>
    <w:rsid w:val="008E5013"/>
    <w:rsid w:val="0094439E"/>
    <w:rsid w:val="00976077"/>
    <w:rsid w:val="009F2889"/>
    <w:rsid w:val="00A90706"/>
    <w:rsid w:val="00BA3C97"/>
    <w:rsid w:val="00C040F2"/>
    <w:rsid w:val="00C55F13"/>
    <w:rsid w:val="00C7350A"/>
    <w:rsid w:val="00CA2CB5"/>
    <w:rsid w:val="00CC6015"/>
    <w:rsid w:val="00CF7B20"/>
    <w:rsid w:val="00D34489"/>
    <w:rsid w:val="00D45DC2"/>
    <w:rsid w:val="00DA168F"/>
    <w:rsid w:val="00DC5959"/>
    <w:rsid w:val="00DC7536"/>
    <w:rsid w:val="00DD74A8"/>
    <w:rsid w:val="00DE1B9A"/>
    <w:rsid w:val="00E149CE"/>
    <w:rsid w:val="00E80B4D"/>
    <w:rsid w:val="00E80EDF"/>
    <w:rsid w:val="00E8550F"/>
    <w:rsid w:val="00E87E70"/>
    <w:rsid w:val="00E960AB"/>
    <w:rsid w:val="00EE1796"/>
    <w:rsid w:val="00F23352"/>
    <w:rsid w:val="00F23608"/>
    <w:rsid w:val="00F27EDE"/>
    <w:rsid w:val="00F44309"/>
    <w:rsid w:val="00F95903"/>
    <w:rsid w:val="00FB2252"/>
    <w:rsid w:val="00FF6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B19D0"/>
  <w15:chartTrackingRefBased/>
  <w15:docId w15:val="{86292AEC-8E6E-634C-B07B-E911AE39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407"/>
    <w:rPr>
      <w:rFonts w:eastAsiaTheme="majorEastAsia" w:cstheme="majorBidi"/>
      <w:color w:val="272727" w:themeColor="text1" w:themeTint="D8"/>
    </w:rPr>
  </w:style>
  <w:style w:type="paragraph" w:styleId="Title">
    <w:name w:val="Title"/>
    <w:basedOn w:val="Normal"/>
    <w:next w:val="Normal"/>
    <w:link w:val="TitleChar"/>
    <w:uiPriority w:val="10"/>
    <w:qFormat/>
    <w:rsid w:val="006E4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407"/>
    <w:pPr>
      <w:spacing w:before="160"/>
      <w:jc w:val="center"/>
    </w:pPr>
    <w:rPr>
      <w:i/>
      <w:iCs/>
      <w:color w:val="404040" w:themeColor="text1" w:themeTint="BF"/>
    </w:rPr>
  </w:style>
  <w:style w:type="character" w:customStyle="1" w:styleId="QuoteChar">
    <w:name w:val="Quote Char"/>
    <w:basedOn w:val="DefaultParagraphFont"/>
    <w:link w:val="Quote"/>
    <w:uiPriority w:val="29"/>
    <w:rsid w:val="006E4407"/>
    <w:rPr>
      <w:i/>
      <w:iCs/>
      <w:color w:val="404040" w:themeColor="text1" w:themeTint="BF"/>
    </w:rPr>
  </w:style>
  <w:style w:type="paragraph" w:styleId="ListParagraph">
    <w:name w:val="List Paragraph"/>
    <w:basedOn w:val="Normal"/>
    <w:uiPriority w:val="34"/>
    <w:qFormat/>
    <w:rsid w:val="006E4407"/>
    <w:pPr>
      <w:ind w:left="720"/>
      <w:contextualSpacing/>
    </w:pPr>
  </w:style>
  <w:style w:type="character" w:styleId="IntenseEmphasis">
    <w:name w:val="Intense Emphasis"/>
    <w:basedOn w:val="DefaultParagraphFont"/>
    <w:uiPriority w:val="21"/>
    <w:qFormat/>
    <w:rsid w:val="006E4407"/>
    <w:rPr>
      <w:i/>
      <w:iCs/>
      <w:color w:val="0F4761" w:themeColor="accent1" w:themeShade="BF"/>
    </w:rPr>
  </w:style>
  <w:style w:type="paragraph" w:styleId="IntenseQuote">
    <w:name w:val="Intense Quote"/>
    <w:basedOn w:val="Normal"/>
    <w:next w:val="Normal"/>
    <w:link w:val="IntenseQuoteChar"/>
    <w:uiPriority w:val="30"/>
    <w:qFormat/>
    <w:rsid w:val="006E4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407"/>
    <w:rPr>
      <w:i/>
      <w:iCs/>
      <w:color w:val="0F4761" w:themeColor="accent1" w:themeShade="BF"/>
    </w:rPr>
  </w:style>
  <w:style w:type="character" w:styleId="IntenseReference">
    <w:name w:val="Intense Reference"/>
    <w:basedOn w:val="DefaultParagraphFont"/>
    <w:uiPriority w:val="32"/>
    <w:qFormat/>
    <w:rsid w:val="006E4407"/>
    <w:rPr>
      <w:b/>
      <w:bCs/>
      <w:smallCaps/>
      <w:color w:val="0F4761" w:themeColor="accent1" w:themeShade="BF"/>
      <w:spacing w:val="5"/>
    </w:rPr>
  </w:style>
  <w:style w:type="paragraph" w:styleId="Header">
    <w:name w:val="header"/>
    <w:basedOn w:val="Normal"/>
    <w:link w:val="HeaderChar"/>
    <w:uiPriority w:val="99"/>
    <w:unhideWhenUsed/>
    <w:rsid w:val="006E4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07"/>
  </w:style>
  <w:style w:type="paragraph" w:styleId="Footer">
    <w:name w:val="footer"/>
    <w:basedOn w:val="Normal"/>
    <w:link w:val="FooterChar"/>
    <w:uiPriority w:val="99"/>
    <w:unhideWhenUsed/>
    <w:rsid w:val="006E4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07"/>
  </w:style>
  <w:style w:type="table" w:styleId="TableGrid">
    <w:name w:val="Table Grid"/>
    <w:basedOn w:val="TableNormal"/>
    <w:uiPriority w:val="59"/>
    <w:rsid w:val="0045283E"/>
    <w:pPr>
      <w:spacing w:after="0" w:line="240" w:lineRule="auto"/>
    </w:pPr>
    <w:rPr>
      <w:rFonts w:ascii="Calibri" w:eastAsia="Calibri" w:hAnsi="Calibri" w:cs="Arial"/>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50492">
      <w:bodyDiv w:val="1"/>
      <w:marLeft w:val="0"/>
      <w:marRight w:val="0"/>
      <w:marTop w:val="0"/>
      <w:marBottom w:val="0"/>
      <w:divBdr>
        <w:top w:val="none" w:sz="0" w:space="0" w:color="auto"/>
        <w:left w:val="none" w:sz="0" w:space="0" w:color="auto"/>
        <w:bottom w:val="none" w:sz="0" w:space="0" w:color="auto"/>
        <w:right w:val="none" w:sz="0" w:space="0" w:color="auto"/>
      </w:divBdr>
    </w:div>
    <w:div w:id="1623883332">
      <w:bodyDiv w:val="1"/>
      <w:marLeft w:val="0"/>
      <w:marRight w:val="0"/>
      <w:marTop w:val="0"/>
      <w:marBottom w:val="0"/>
      <w:divBdr>
        <w:top w:val="none" w:sz="0" w:space="0" w:color="auto"/>
        <w:left w:val="none" w:sz="0" w:space="0" w:color="auto"/>
        <w:bottom w:val="none" w:sz="0" w:space="0" w:color="auto"/>
        <w:right w:val="none" w:sz="0" w:space="0" w:color="auto"/>
      </w:divBdr>
    </w:div>
    <w:div w:id="1718895867">
      <w:bodyDiv w:val="1"/>
      <w:marLeft w:val="0"/>
      <w:marRight w:val="0"/>
      <w:marTop w:val="0"/>
      <w:marBottom w:val="0"/>
      <w:divBdr>
        <w:top w:val="none" w:sz="0" w:space="0" w:color="auto"/>
        <w:left w:val="none" w:sz="0" w:space="0" w:color="auto"/>
        <w:bottom w:val="none" w:sz="0" w:space="0" w:color="auto"/>
        <w:right w:val="none" w:sz="0" w:space="0" w:color="auto"/>
      </w:divBdr>
    </w:div>
    <w:div w:id="1819760271">
      <w:bodyDiv w:val="1"/>
      <w:marLeft w:val="0"/>
      <w:marRight w:val="0"/>
      <w:marTop w:val="0"/>
      <w:marBottom w:val="0"/>
      <w:divBdr>
        <w:top w:val="none" w:sz="0" w:space="0" w:color="auto"/>
        <w:left w:val="none" w:sz="0" w:space="0" w:color="auto"/>
        <w:bottom w:val="none" w:sz="0" w:space="0" w:color="auto"/>
        <w:right w:val="none" w:sz="0" w:space="0" w:color="auto"/>
      </w:divBdr>
    </w:div>
    <w:div w:id="1954628289">
      <w:bodyDiv w:val="1"/>
      <w:marLeft w:val="0"/>
      <w:marRight w:val="0"/>
      <w:marTop w:val="0"/>
      <w:marBottom w:val="0"/>
      <w:divBdr>
        <w:top w:val="none" w:sz="0" w:space="0" w:color="auto"/>
        <w:left w:val="none" w:sz="0" w:space="0" w:color="auto"/>
        <w:bottom w:val="none" w:sz="0" w:space="0" w:color="auto"/>
        <w:right w:val="none" w:sz="0" w:space="0" w:color="auto"/>
      </w:divBdr>
    </w:div>
    <w:div w:id="21311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Alzayer / Zamil Industrial Graphic Designer</dc:creator>
  <cp:keywords/>
  <dc:description/>
  <cp:lastModifiedBy>Said Al Daajani / Zamil Industrial Corporate Affairs Director</cp:lastModifiedBy>
  <cp:revision>4</cp:revision>
  <cp:lastPrinted>2025-04-14T12:31:00Z</cp:lastPrinted>
  <dcterms:created xsi:type="dcterms:W3CDTF">2025-04-27T08:45:00Z</dcterms:created>
  <dcterms:modified xsi:type="dcterms:W3CDTF">2025-05-29T07:33:00Z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83b89b-2937-4261-ba51-80c14d7ca553_Enabled">
    <vt:lpwstr>true</vt:lpwstr>
  </property>
  <property fmtid="{D5CDD505-2E9C-101B-9397-08002B2CF9AE}" pid="3" name="MSIP_Label_de83b89b-2937-4261-ba51-80c14d7ca553_SetDate">
    <vt:lpwstr>2024-10-16T08:09:02Z</vt:lpwstr>
  </property>
  <property fmtid="{D5CDD505-2E9C-101B-9397-08002B2CF9AE}" pid="4" name="MSIP_Label_de83b89b-2937-4261-ba51-80c14d7ca553_Method">
    <vt:lpwstr>Standard</vt:lpwstr>
  </property>
  <property fmtid="{D5CDD505-2E9C-101B-9397-08002B2CF9AE}" pid="5" name="MSIP_Label_de83b89b-2937-4261-ba51-80c14d7ca553_Name">
    <vt:lpwstr>de83b89b-2937-4261-ba51-80c14d7ca553</vt:lpwstr>
  </property>
  <property fmtid="{D5CDD505-2E9C-101B-9397-08002B2CF9AE}" pid="6" name="MSIP_Label_de83b89b-2937-4261-ba51-80c14d7ca553_SiteId">
    <vt:lpwstr>cfdb9f84-010a-4951-9bfc-0335b2ab3bb5</vt:lpwstr>
  </property>
  <property fmtid="{D5CDD505-2E9C-101B-9397-08002B2CF9AE}" pid="7" name="MSIP_Label_de83b89b-2937-4261-ba51-80c14d7ca553_ActionId">
    <vt:lpwstr>a2355ecb-e18d-4f3c-bf7f-2bed57e217fb</vt:lpwstr>
  </property>
  <property fmtid="{D5CDD505-2E9C-101B-9397-08002B2CF9AE}" pid="8" name="MSIP_Label_de83b89b-2937-4261-ba51-80c14d7ca553_ContentBits">
    <vt:lpwstr>0</vt:lpwstr>
  </property>
</Properties>
</file>